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553" w:rsidRDefault="00431553" w:rsidP="00CA42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424E" w:rsidRDefault="00CA424E" w:rsidP="00CA4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4E">
        <w:rPr>
          <w:rFonts w:ascii="Times New Roman" w:hAnsi="Times New Roman" w:cs="Times New Roman"/>
          <w:b/>
          <w:sz w:val="24"/>
          <w:szCs w:val="24"/>
        </w:rPr>
        <w:t>ЖИЛИЩНОЕ ОБЕСПЕЧЕНИЕ ИНВАЛИДОВ</w:t>
      </w:r>
      <w:r w:rsidR="00E71EC9">
        <w:rPr>
          <w:rFonts w:ascii="Times New Roman" w:hAnsi="Times New Roman" w:cs="Times New Roman"/>
          <w:b/>
          <w:sz w:val="24"/>
          <w:szCs w:val="24"/>
        </w:rPr>
        <w:t xml:space="preserve"> ПО ФЕДЕРАЛЬНОМУ ЗАКОНОДАТЕЛЬСТВУ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E0D67" w:rsidTr="00431553">
        <w:tc>
          <w:tcPr>
            <w:tcW w:w="7280" w:type="dxa"/>
          </w:tcPr>
          <w:p w:rsidR="00AE0D67" w:rsidRPr="00672317" w:rsidRDefault="00AE0D67" w:rsidP="00AE0D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Категории граждан, имеющих право быть признанными нуждающимися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жилых помещениях</w:t>
            </w:r>
            <w:r w:rsidR="006723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, </w:t>
            </w:r>
            <w:r w:rsidR="00672317" w:rsidRPr="0059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вставших на учет до 1 января 2005 года</w:t>
            </w:r>
          </w:p>
          <w:p w:rsidR="00AE0D67" w:rsidRPr="00590661" w:rsidRDefault="00773E97" w:rsidP="00AE0D67">
            <w:pPr>
              <w:shd w:val="clear" w:color="auto" w:fill="FFFFFF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hyperlink r:id="rId4" w:anchor="/document/10164504/entry/101" w:history="1">
              <w:r w:rsidR="00AE0D67" w:rsidRPr="00590661">
                <w:rPr>
                  <w:rFonts w:ascii="PT Serif" w:eastAsia="Times New Roman" w:hAnsi="PT Serif" w:cs="Times New Roman"/>
                  <w:sz w:val="23"/>
                  <w:szCs w:val="23"/>
                  <w:lang w:eastAsia="ru-RU"/>
                </w:rPr>
                <w:t>Инвалиды</w:t>
              </w:r>
            </w:hyperlink>
            <w:r w:rsidR="00AE0D67" w:rsidRPr="00590661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и семьи, имеющие детей-инвалидов,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Федерации.</w:t>
            </w:r>
          </w:p>
          <w:p w:rsidR="00AE0D67" w:rsidRPr="00944B98" w:rsidRDefault="00AE0D67" w:rsidP="00AE0D67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90661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Обеспечение за счет средств федерального бюджета жильем инвалидов и семей, имеющих детей-инвалидов, нуждающихся в улучшении жилищных условий, вставших на учет до 1 января 2005 года, осуществляется в соответствии с положениями </w:t>
            </w:r>
            <w:hyperlink r:id="rId5" w:anchor="/document/10164504/entry/282" w:history="1">
              <w:r w:rsidRPr="00590661">
                <w:rPr>
                  <w:rFonts w:ascii="PT Serif" w:eastAsia="Times New Roman" w:hAnsi="PT Serif" w:cs="Times New Roman"/>
                  <w:sz w:val="23"/>
                  <w:szCs w:val="23"/>
                  <w:lang w:eastAsia="ru-RU"/>
                </w:rPr>
                <w:t>статьи 28.2</w:t>
              </w:r>
            </w:hyperlink>
            <w:r w:rsidRPr="00590661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 настоящего Федерального закона.</w:t>
            </w:r>
          </w:p>
        </w:tc>
        <w:tc>
          <w:tcPr>
            <w:tcW w:w="7280" w:type="dxa"/>
          </w:tcPr>
          <w:p w:rsidR="00AE0D67" w:rsidRDefault="00AE0D67" w:rsidP="004315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0D67" w:rsidRDefault="00AE0D67" w:rsidP="004315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72317" w:rsidRDefault="00672317" w:rsidP="004315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E0D67" w:rsidRPr="00297011" w:rsidRDefault="00AE0D67" w:rsidP="00AE0D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17 ФЗ от 24.11.1995 № 181 «О социальной защите инвалидов в Российской Федерации».</w:t>
            </w:r>
          </w:p>
          <w:p w:rsidR="00AE0D67" w:rsidRPr="00297011" w:rsidRDefault="00AE0D67" w:rsidP="00AE0D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28.2. ФЗ от 24.11.1995 № 181 «О социальной защите инвалидов в Российской Федерации».</w:t>
            </w:r>
          </w:p>
          <w:p w:rsidR="00AE0D67" w:rsidRDefault="00A10CF8" w:rsidP="0043155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</w:tc>
      </w:tr>
      <w:tr w:rsidR="00431553" w:rsidTr="00431553">
        <w:tc>
          <w:tcPr>
            <w:tcW w:w="7280" w:type="dxa"/>
          </w:tcPr>
          <w:p w:rsidR="00431553" w:rsidRPr="002F2591" w:rsidRDefault="00431553" w:rsidP="00431553">
            <w:pPr>
              <w:shd w:val="clear" w:color="auto" w:fill="FFFFFF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2F2591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Федеральный закон определяет меры социальной защиты ветеранов в РФ, основы государственной политики в отношении ветеранов, устанавливает категории ветеранов.</w:t>
            </w:r>
          </w:p>
          <w:p w:rsidR="00431553" w:rsidRPr="002F2591" w:rsidRDefault="00431553" w:rsidP="00431553">
            <w:pPr>
              <w:shd w:val="clear" w:color="auto" w:fill="FFFFFF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2F2591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Закон устанавливает меры социальной защиты ветеранов в жил</w:t>
            </w:r>
            <w:r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ищной сфере и др</w:t>
            </w:r>
            <w:r w:rsidRPr="002F2591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>.</w:t>
            </w:r>
          </w:p>
          <w:p w:rsidR="00431553" w:rsidRPr="00431553" w:rsidRDefault="00431553" w:rsidP="00431553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Российская Федерация передает органам государственной власти субъектов Россий</w:t>
            </w:r>
            <w:r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ской Федерации</w:t>
            </w:r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 xml:space="preserve"> полномочия по обеспечению жильем в соответствии со </w:t>
            </w:r>
            <w:hyperlink r:id="rId7" w:anchor="/document/10103548/entry/114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статьями 14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, </w:t>
            </w:r>
            <w:hyperlink r:id="rId8" w:anchor="/document/10103548/entry/116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16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 и </w:t>
            </w:r>
            <w:hyperlink r:id="rId9" w:anchor="/document/10103548/entry/21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21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 настоящего Федерального закона категорий граждан, нуждающихся в улучшении жилищных условий и вставших на учет до 1 января 2005 года, и полномочия по обеспечению жильем в соответствии со </w:t>
            </w:r>
            <w:hyperlink r:id="rId10" w:anchor="/document/10103548/entry/114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статьями 14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, </w:t>
            </w:r>
            <w:hyperlink r:id="rId11" w:anchor="/document/10103548/entry/115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15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, </w:t>
            </w:r>
            <w:hyperlink r:id="rId12" w:anchor="/document/10103548/entry/117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17-19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 и </w:t>
            </w:r>
            <w:hyperlink r:id="rId13" w:anchor="/document/10103548/entry/21" w:history="1">
              <w:r w:rsidRPr="00F417E0">
                <w:rPr>
                  <w:rFonts w:ascii="PT Serif" w:eastAsiaTheme="minorHAnsi" w:hAnsi="PT Serif" w:cstheme="minorBidi"/>
                  <w:sz w:val="23"/>
                  <w:szCs w:val="23"/>
                  <w:shd w:val="clear" w:color="auto" w:fill="FFFFFF"/>
                  <w:lang w:eastAsia="en-US"/>
                </w:rPr>
                <w:t>21</w:t>
              </w:r>
            </w:hyperlink>
            <w:r w:rsidRPr="00F417E0">
              <w:rPr>
                <w:rFonts w:ascii="PT Serif" w:eastAsiaTheme="minorHAnsi" w:hAnsi="PT Serif" w:cstheme="minorBidi"/>
                <w:sz w:val="23"/>
                <w:szCs w:val="23"/>
                <w:shd w:val="clear" w:color="auto" w:fill="FFFFFF"/>
                <w:lang w:eastAsia="en-US"/>
              </w:rPr>
              <w:t> настоящего Федерального закона категорий граждан, нуждающихся в улучшении жилищных условий.</w:t>
            </w:r>
          </w:p>
        </w:tc>
        <w:tc>
          <w:tcPr>
            <w:tcW w:w="7280" w:type="dxa"/>
          </w:tcPr>
          <w:p w:rsidR="00431553" w:rsidRPr="002F2591" w:rsidRDefault="00431553" w:rsidP="00431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ст. 23.2. ФЗ от 12.01.1995 г. № </w:t>
            </w:r>
            <w:r w:rsidRPr="002F25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5-ФЗ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ветеранах»</w:t>
            </w:r>
          </w:p>
          <w:p w:rsidR="00431553" w:rsidRDefault="00A10CF8" w:rsidP="00A10CF8">
            <w:hyperlink r:id="rId14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  <w:p w:rsidR="00A10CF8" w:rsidRDefault="00A10CF8" w:rsidP="00A1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1553" w:rsidRDefault="00431553" w:rsidP="00CA4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553" w:rsidTr="00431553">
        <w:tc>
          <w:tcPr>
            <w:tcW w:w="7280" w:type="dxa"/>
          </w:tcPr>
          <w:p w:rsidR="00672317" w:rsidRPr="00672317" w:rsidRDefault="00672317" w:rsidP="006723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Категории граждан, имеющих право быть признанными нуждающимися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жилых помещениях,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вставших на учет после</w:t>
            </w:r>
            <w:r w:rsidRPr="0059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января 2005 года</w:t>
            </w:r>
          </w:p>
          <w:p w:rsidR="00DB4080" w:rsidRPr="00297011" w:rsidRDefault="00DB4080" w:rsidP="00DB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97011">
              <w:t>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 </w:t>
            </w:r>
            <w:hyperlink r:id="rId15" w:anchor="/document/12138291/entry/109" w:history="1">
              <w:r w:rsidRPr="00297011">
                <w:rPr>
                  <w:rStyle w:val="a4"/>
                  <w:color w:val="auto"/>
                  <w:u w:val="none"/>
                </w:rPr>
                <w:t>жилищным законодательством</w:t>
              </w:r>
            </w:hyperlink>
            <w:r w:rsidRPr="00297011">
              <w:t> Российской Федерации.</w:t>
            </w:r>
          </w:p>
          <w:p w:rsidR="00DB4080" w:rsidRPr="00297011" w:rsidRDefault="00DB4080" w:rsidP="00DB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97011">
              <w:t>Жилые помещения предоставляются инвалидам, семьям, имеющим детей-инвалидов, с учетом состояния здоровья и других заслуживающих внимания обстоятельств.</w:t>
            </w:r>
          </w:p>
          <w:p w:rsidR="00DB4080" w:rsidRPr="00297011" w:rsidRDefault="00DB4080" w:rsidP="00DB4080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297011">
              <w:lastRenderedPageBreak/>
              <w:t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 </w:t>
            </w:r>
            <w:hyperlink r:id="rId16" w:anchor="/document/70297548/entry/0" w:history="1">
              <w:r w:rsidRPr="00297011">
                <w:rPr>
                  <w:rStyle w:val="a4"/>
                  <w:color w:val="auto"/>
                  <w:u w:val="none"/>
                </w:rPr>
                <w:t>перечнем</w:t>
              </w:r>
            </w:hyperlink>
            <w:r w:rsidRPr="00297011">
              <w:t>, устанавливаемым уполномоченным Правительством Российской Федерации федеральным органом исполнительной власти.</w:t>
            </w:r>
          </w:p>
          <w:p w:rsidR="00DB4080" w:rsidRPr="00297011" w:rsidRDefault="00DB4080" w:rsidP="00DB40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очереди могут получить только те лица, которые болеют тяжелой формой хронического заболевания (часть 2 статьи № 57 ЖК).</w:t>
            </w:r>
          </w:p>
          <w:p w:rsidR="00431553" w:rsidRPr="00DB4080" w:rsidRDefault="00DB4080" w:rsidP="00DB40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наличие у несовершеннолетнего члена семьи инвалидности не может стать безоговорочным основанием для получения жилых квадратных метров. Очень важно быть именно той семьей, которая нуждается в улучшении жилищных условий.</w:t>
            </w:r>
          </w:p>
        </w:tc>
        <w:tc>
          <w:tcPr>
            <w:tcW w:w="7280" w:type="dxa"/>
          </w:tcPr>
          <w:p w:rsidR="00DB4080" w:rsidRDefault="00DB4080" w:rsidP="00DB40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17 ФЗ от 24.11.1995 № 181 «О социальной защите инвалидов в Российской Федерации».</w:t>
            </w:r>
          </w:p>
          <w:p w:rsidR="00DB4080" w:rsidRPr="00297011" w:rsidRDefault="00DB4080" w:rsidP="00DB40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51 </w:t>
            </w: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Жилищного </w:t>
            </w:r>
            <w:proofErr w:type="gramStart"/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 </w:t>
            </w:r>
            <w:r w:rsidRPr="00297011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 w:rsidRPr="00297011">
              <w:rPr>
                <w:rFonts w:ascii="Times New Roman" w:hAnsi="Times New Roman" w:cs="Times New Roman"/>
                <w:sz w:val="24"/>
                <w:szCs w:val="24"/>
              </w:rPr>
              <w:t xml:space="preserve"> от 29.12.2004 № 188-ФЗ</w:t>
            </w:r>
          </w:p>
          <w:p w:rsidR="00DB4080" w:rsidRPr="00297011" w:rsidRDefault="00DB4080" w:rsidP="00DB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57 Жилищного </w:t>
            </w:r>
            <w:proofErr w:type="gramStart"/>
            <w:r w:rsidRPr="002970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Кодекса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29.12.2004 № 188-ФЗ</w:t>
            </w:r>
          </w:p>
          <w:p w:rsidR="00DB4080" w:rsidRPr="00297011" w:rsidRDefault="00A10CF8" w:rsidP="00DB4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A10CF8">
                <w:rPr>
                  <w:rFonts w:ascii="Times New Roman" w:hAnsi="Times New Roman"/>
                  <w:b/>
                  <w:color w:val="0000FF"/>
                  <w:sz w:val="24"/>
                  <w:szCs w:val="24"/>
                  <w:u w:val="single"/>
                </w:rPr>
                <w:t>https://www.garant.ru</w:t>
              </w:r>
            </w:hyperlink>
          </w:p>
          <w:p w:rsidR="00431553" w:rsidRDefault="00431553" w:rsidP="00CA42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1553" w:rsidTr="00431553">
        <w:tc>
          <w:tcPr>
            <w:tcW w:w="7280" w:type="dxa"/>
          </w:tcPr>
          <w:p w:rsidR="00DB4080" w:rsidRDefault="00DB4080" w:rsidP="00DB40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Заболевания, дающие инвалидам, страдающим ими, право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отдельную жилую площадь</w:t>
            </w:r>
          </w:p>
          <w:p w:rsidR="00431553" w:rsidRDefault="00DB4080" w:rsidP="00DB4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Если гражданин проживает в квартире, занятой несколькими семьями, и в одной из них есть больной, страдающий тяжелой формой хронического заболевания, то данный гражданин признается нуждающимся в предоставлении жилого помещения по договору </w:t>
            </w:r>
            <w:proofErr w:type="spellStart"/>
            <w:r w:rsidRPr="0002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соцнайма</w:t>
            </w:r>
            <w:proofErr w:type="spellEnd"/>
            <w:r w:rsidRPr="0002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Заново утвержден перечень тяжелых форм таких заболеваний.</w:t>
            </w:r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4080" w:rsidRDefault="00DB4080" w:rsidP="00DB4080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Заболевания, дающие инвалидам, страдающим ими, право на дополнительную жилую площадь </w:t>
            </w:r>
          </w:p>
          <w:p w:rsidR="00DB4080" w:rsidRPr="00DB4080" w:rsidRDefault="00DB4080" w:rsidP="00DB408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24A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Инвалиды могут получить жилое помещение по договору социального найма общей площадью, превышающей норму предоставления на 1 человека (но не более чем в 2 раза). Условие - они страдают тяжелыми фор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мами хронических заболеваний.</w:t>
            </w:r>
          </w:p>
        </w:tc>
        <w:tc>
          <w:tcPr>
            <w:tcW w:w="7280" w:type="dxa"/>
          </w:tcPr>
          <w:p w:rsidR="00431553" w:rsidRDefault="00431553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80" w:rsidRDefault="00DB4080" w:rsidP="00DB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здравоохранения РФ от 29.11.2012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9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987н «Об утверждении перечня тяжелых форм хронических заболеваний, при которых невозможно совместное проживание граждан в одной квартире»</w:t>
            </w:r>
          </w:p>
          <w:p w:rsidR="00DB4080" w:rsidRDefault="00A10CF8" w:rsidP="00DB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4080" w:rsidRPr="00297011" w:rsidRDefault="00DB4080" w:rsidP="00DB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0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Приказом Министерства здравоохранения РФ от 30.11.2012                     № 991н «Об утверждении перечня заболеваний, дающих инвалидам, страдающим ими, право на дополнительную жилую площадь» </w:t>
            </w:r>
          </w:p>
          <w:p w:rsidR="00DB4080" w:rsidRPr="00297011" w:rsidRDefault="00A10CF8" w:rsidP="00DB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  <w:p w:rsidR="00DB4080" w:rsidRDefault="00DB4080" w:rsidP="00DB408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4080" w:rsidRDefault="00DB4080" w:rsidP="00DB408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1E6E" w:rsidRDefault="003B1E6E" w:rsidP="00F972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3A" w:rsidRDefault="00F9723A" w:rsidP="00F972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24E">
        <w:rPr>
          <w:rFonts w:ascii="Times New Roman" w:hAnsi="Times New Roman" w:cs="Times New Roman"/>
          <w:b/>
          <w:sz w:val="24"/>
          <w:szCs w:val="24"/>
        </w:rPr>
        <w:t>ЖИЛИЩНОЕ ОБЕСПЕЧЕНИЕ ИНВАЛИДОВ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РЕГИОНАЛЬНОМУ ЗАКОНОДАТЕЛЬСТВУ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803406" w:rsidTr="003B1E6E">
        <w:tc>
          <w:tcPr>
            <w:tcW w:w="7280" w:type="dxa"/>
          </w:tcPr>
          <w:p w:rsidR="00803406" w:rsidRDefault="00803406" w:rsidP="003B1E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94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Категории граждан, имеющих право быть признанными нуждающимися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жилых помещениях в </w:t>
            </w:r>
            <w:r w:rsidRPr="0094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Тюменской области</w:t>
            </w:r>
          </w:p>
          <w:p w:rsidR="00803406" w:rsidRPr="00803406" w:rsidRDefault="00803406" w:rsidP="00803406">
            <w:pPr>
              <w:shd w:val="clear" w:color="auto" w:fill="FFFFFF"/>
              <w:jc w:val="both"/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</w:pPr>
            <w:r w:rsidRPr="00803406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t xml:space="preserve">Определены основы регулирования отношений в сфере предоставления социальных выплат (безвозмездные субсидии) и (или) займов на строительство или приобретение жилья в Тюменской области за счет </w:t>
            </w:r>
            <w:r w:rsidRPr="00803406">
              <w:rPr>
                <w:rFonts w:ascii="PT Serif" w:eastAsia="Times New Roman" w:hAnsi="PT Serif" w:cs="Times New Roman"/>
                <w:sz w:val="23"/>
                <w:szCs w:val="23"/>
                <w:lang w:eastAsia="ru-RU"/>
              </w:rPr>
              <w:lastRenderedPageBreak/>
              <w:t>средств областного бюджета гражданам Российской Федерации по их желанию, имеющим в соответствии с настоящим Законом право на их получение.</w:t>
            </w:r>
          </w:p>
          <w:p w:rsidR="00803406" w:rsidRPr="00803406" w:rsidRDefault="00803406" w:rsidP="0080340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Первоочередное право на предоставление им безвозмездной субсидии имеют:</w:t>
            </w:r>
            <w:r w:rsidRPr="00803406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молодые семьи, семьи, воспитывающие детей - инвалидов (субсидия предоставляется одному из супругов) и др.</w:t>
            </w:r>
          </w:p>
        </w:tc>
        <w:tc>
          <w:tcPr>
            <w:tcW w:w="7280" w:type="dxa"/>
          </w:tcPr>
          <w:p w:rsidR="00803406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3406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3406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Тюменско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области от 3 августа 1999 г. №</w:t>
            </w:r>
            <w:r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128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 предоставлении субсидий и займов гражданам на строительство или </w:t>
            </w:r>
            <w:r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приобретение жилья в Тюменской области за счет средств областного бюджета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3406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3406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ст. 3 </w:t>
            </w:r>
            <w:r w:rsidR="00654DF9"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 Тюменско</w:t>
            </w:r>
            <w:r w:rsidR="00654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 области от 3 августа 1999 г. №</w:t>
            </w:r>
            <w:r w:rsidR="00654DF9" w:rsidRPr="008034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128</w:t>
            </w:r>
          </w:p>
          <w:p w:rsidR="00A10CF8" w:rsidRDefault="00A10CF8" w:rsidP="008034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</w:tc>
      </w:tr>
      <w:tr w:rsidR="003B1E6E" w:rsidTr="003B1E6E">
        <w:tc>
          <w:tcPr>
            <w:tcW w:w="7280" w:type="dxa"/>
          </w:tcPr>
          <w:p w:rsidR="004A0628" w:rsidRPr="00672317" w:rsidRDefault="004A0628" w:rsidP="004A062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 xml:space="preserve">Категории граждан, имеющих право быть признанными нуждающимися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жилых помещениях, </w:t>
            </w:r>
            <w:r w:rsidRPr="0059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вставших на учет до 1 января 2005 года</w:t>
            </w:r>
          </w:p>
          <w:p w:rsidR="003B1E6E" w:rsidRPr="00944B98" w:rsidRDefault="003B1E6E" w:rsidP="003B1E6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sz w:val="23"/>
                <w:szCs w:val="23"/>
              </w:rPr>
            </w:pPr>
            <w:r w:rsidRPr="00944B98">
              <w:rPr>
                <w:rFonts w:ascii="PT Serif" w:hAnsi="PT Serif"/>
                <w:sz w:val="23"/>
                <w:szCs w:val="23"/>
              </w:rPr>
              <w:t>Определена форма и порядок предоставления мер социальной поддержки по обеспечению жильем ветеранов, инвалидов и семей, имеющих детей-инвалидов, нуждающихся в улучшении жилищных условий, вставших на учет до 1 января 2005 года.</w:t>
            </w:r>
          </w:p>
          <w:p w:rsidR="003B1E6E" w:rsidRPr="00803406" w:rsidRDefault="00803406" w:rsidP="00803406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ascii="PT Serif" w:hAnsi="PT Serif"/>
                <w:sz w:val="23"/>
                <w:szCs w:val="23"/>
              </w:rPr>
            </w:pPr>
            <w:r w:rsidRPr="00944B98">
              <w:rPr>
                <w:rFonts w:ascii="PT Serif" w:hAnsi="PT Serif"/>
                <w:sz w:val="23"/>
                <w:szCs w:val="23"/>
              </w:rPr>
              <w:t>Установлено, что право на улучшение жилищных условий с использованием социальной выплаты из средств федерального бюджета, удостоверяемой свидетельством, предоставляется только 1 раз.</w:t>
            </w:r>
          </w:p>
        </w:tc>
        <w:tc>
          <w:tcPr>
            <w:tcW w:w="7280" w:type="dxa"/>
          </w:tcPr>
          <w:p w:rsidR="004A0628" w:rsidRDefault="004A0628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628" w:rsidRDefault="004A0628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628" w:rsidRDefault="004A0628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3406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4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Постановление Правительства Тюменской области от 14 августа 2006 г. N 193-п "О предоставлении мер социальной поддержки по обеспечению жильем категорий граждан, определенных Федеральными законами "О ветеранах" и "О социальной защите инвалидов в Российской Федерации"</w:t>
            </w:r>
          </w:p>
          <w:p w:rsidR="00A10CF8" w:rsidRPr="00803406" w:rsidRDefault="00A10CF8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</w:tc>
      </w:tr>
      <w:tr w:rsidR="003B1E6E" w:rsidTr="003B1E6E">
        <w:tc>
          <w:tcPr>
            <w:tcW w:w="7280" w:type="dxa"/>
          </w:tcPr>
          <w:p w:rsidR="00F430C6" w:rsidRPr="00672317" w:rsidRDefault="00F430C6" w:rsidP="00F430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4B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Категории граждан, имеющих право быть признанными нуждающимися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жилых помещениях,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вставших на учет после</w:t>
            </w:r>
            <w:r w:rsidRPr="005906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 января 2005 года</w:t>
            </w:r>
          </w:p>
          <w:p w:rsidR="00803406" w:rsidRPr="00944B98" w:rsidRDefault="00803406" w:rsidP="00803406">
            <w:pPr>
              <w:jc w:val="both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  <w:r w:rsidRPr="00944B98">
              <w:rPr>
                <w:rFonts w:ascii="PT Serif" w:hAnsi="PT Serif"/>
                <w:sz w:val="23"/>
                <w:szCs w:val="23"/>
                <w:shd w:val="clear" w:color="auto" w:fill="FFFFFF"/>
              </w:rPr>
              <w:t>В соответствии с </w:t>
            </w:r>
            <w:hyperlink r:id="rId22" w:anchor="/document/10103000/entry/0" w:history="1">
              <w:r w:rsidRPr="00944B98">
                <w:rPr>
                  <w:rFonts w:ascii="PT Serif" w:hAnsi="PT Serif"/>
                  <w:sz w:val="23"/>
                  <w:szCs w:val="23"/>
                  <w:shd w:val="clear" w:color="auto" w:fill="FFFFFF"/>
                </w:rPr>
                <w:t>Конституцией</w:t>
              </w:r>
            </w:hyperlink>
            <w:r w:rsidRPr="00944B98">
              <w:rPr>
                <w:rFonts w:ascii="PT Serif" w:hAnsi="PT Serif"/>
                <w:sz w:val="23"/>
                <w:szCs w:val="23"/>
                <w:shd w:val="clear" w:color="auto" w:fill="FFFFFF"/>
              </w:rPr>
              <w:t> Российской Федерации, </w:t>
            </w:r>
            <w:hyperlink r:id="rId23" w:anchor="/document/12138291/entry/0" w:history="1">
              <w:r w:rsidRPr="00944B98">
                <w:rPr>
                  <w:rFonts w:ascii="PT Serif" w:hAnsi="PT Serif"/>
                  <w:sz w:val="23"/>
                  <w:szCs w:val="23"/>
                  <w:shd w:val="clear" w:color="auto" w:fill="FFFFFF"/>
                </w:rPr>
                <w:t>Жилищным кодексом</w:t>
              </w:r>
            </w:hyperlink>
            <w:r w:rsidRPr="00944B98">
              <w:rPr>
                <w:rFonts w:ascii="PT Serif" w:hAnsi="PT Serif"/>
                <w:sz w:val="23"/>
                <w:szCs w:val="23"/>
                <w:shd w:val="clear" w:color="auto" w:fill="FFFFFF"/>
              </w:rPr>
              <w:t> Российской Федерации, иными нормативными правовыми актами Российской Федерации и Тюменской области установлен порядок признания граждан малоимущими в целях предоставления им жилых помещений по договорам социального найма из муниципального жилищного фонда, категории граждан, имеющих право быть признанными нуждающимися в жилых помещениях, предоставляемых по договорам социального найма из жилищного фонда Тюменской области.</w:t>
            </w:r>
          </w:p>
          <w:p w:rsidR="00803406" w:rsidRPr="005D1E7B" w:rsidRDefault="00803406" w:rsidP="00803406">
            <w:pPr>
              <w:jc w:val="both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  <w:r w:rsidRPr="005D1E7B">
              <w:rPr>
                <w:rFonts w:ascii="PT Serif" w:hAnsi="PT Serif"/>
                <w:sz w:val="23"/>
                <w:szCs w:val="23"/>
                <w:shd w:val="clear" w:color="auto" w:fill="FFFFFF"/>
              </w:rPr>
              <w:t>Право быть признанными нуждающимися в жилых помещениях, предоставляемых по договорам социального найма из жилищного фонда Тюменской области, имеют граждане, в том числе:</w:t>
            </w:r>
          </w:p>
          <w:p w:rsidR="003B1E6E" w:rsidRPr="00803406" w:rsidRDefault="00803406" w:rsidP="00803406">
            <w:pPr>
              <w:jc w:val="both"/>
              <w:rPr>
                <w:rFonts w:ascii="PT Serif" w:hAnsi="PT Serif"/>
                <w:sz w:val="23"/>
                <w:szCs w:val="23"/>
                <w:shd w:val="clear" w:color="auto" w:fill="FFFFFF"/>
              </w:rPr>
            </w:pPr>
            <w:r w:rsidRPr="005D1E7B">
              <w:rPr>
                <w:rFonts w:ascii="PT Serif" w:hAnsi="PT Serif"/>
                <w:sz w:val="23"/>
                <w:szCs w:val="23"/>
                <w:shd w:val="clear" w:color="auto" w:fill="FFFFFF"/>
              </w:rPr>
              <w:t> инвалиды первой и второй групп, вставшие на учет нуждающихся в жилых помещениях после 1 января 2005 года</w:t>
            </w:r>
            <w:r>
              <w:rPr>
                <w:rFonts w:ascii="PT Serif" w:hAnsi="PT Serif"/>
                <w:sz w:val="23"/>
                <w:szCs w:val="23"/>
                <w:shd w:val="clear" w:color="auto" w:fill="FFFFFF"/>
              </w:rPr>
              <w:t>.</w:t>
            </w:r>
          </w:p>
        </w:tc>
        <w:tc>
          <w:tcPr>
            <w:tcW w:w="7280" w:type="dxa"/>
          </w:tcPr>
          <w:p w:rsidR="00F430C6" w:rsidRDefault="00F430C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6" w:rsidRDefault="00F430C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30C6" w:rsidRDefault="00F430C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406" w:rsidRPr="00944B98" w:rsidRDefault="00803406" w:rsidP="00803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44B98">
              <w:rPr>
                <w:rFonts w:ascii="Times New Roman" w:hAnsi="Times New Roman" w:cs="Times New Roman"/>
                <w:sz w:val="24"/>
                <w:szCs w:val="24"/>
              </w:rPr>
              <w:t xml:space="preserve">акон Тюменской области от 07.10.1999 № 137 «О порядке учета граждан, </w:t>
            </w:r>
            <w:r w:rsidRPr="00944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нуждающихся в жилых помещениях, предоставляемых</w:t>
            </w:r>
            <w:r w:rsidRPr="00944B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B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им по договорам социального найма, и предоставления жилых помещений </w:t>
            </w:r>
            <w:r w:rsidRPr="00944B98">
              <w:rPr>
                <w:rFonts w:ascii="Times New Roman" w:hAnsi="Times New Roman" w:cs="Times New Roman"/>
                <w:sz w:val="24"/>
                <w:szCs w:val="24"/>
              </w:rPr>
              <w:t>в Тюменской области»</w:t>
            </w:r>
          </w:p>
          <w:p w:rsidR="003B1E6E" w:rsidRDefault="00A10CF8" w:rsidP="00A10C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https://www.garant.ru</w:t>
              </w:r>
            </w:hyperlink>
          </w:p>
        </w:tc>
      </w:tr>
      <w:tr w:rsidR="004B563A" w:rsidTr="003B1E6E">
        <w:tc>
          <w:tcPr>
            <w:tcW w:w="7280" w:type="dxa"/>
          </w:tcPr>
          <w:p w:rsidR="004B563A" w:rsidRPr="004B563A" w:rsidRDefault="004B563A" w:rsidP="00F430C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4B563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Установлена норма</w:t>
            </w:r>
            <w:r w:rsidRPr="004B563A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предоставления площади жилого помещения по договору социального найма (минимальный размер площади жилого помещения, исходя из которого определяется размер общей площади жилого помещения, предоставляемого по договору социального найма) в размере 18 кв. м общей площади жилого помещения на одного человека.</w:t>
            </w:r>
          </w:p>
        </w:tc>
        <w:tc>
          <w:tcPr>
            <w:tcW w:w="7280" w:type="dxa"/>
          </w:tcPr>
          <w:p w:rsidR="004B563A" w:rsidRPr="004B563A" w:rsidRDefault="004B563A" w:rsidP="004B563A">
            <w:pPr>
              <w:pStyle w:val="s16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B563A">
              <w:rPr>
                <w:sz w:val="23"/>
                <w:szCs w:val="23"/>
              </w:rPr>
              <w:t>Решение Тюменской городской Думы от 30 июня 2005 г. N 225 "Об установлении учетной нормы площади жилого помещения, размера дохода и стоимости имущества в целях признания граждан малоимущими, а также нормы предоставления площади жилого помещения по договору социального найма"</w:t>
            </w:r>
          </w:p>
          <w:p w:rsidR="004B563A" w:rsidRPr="004B563A" w:rsidRDefault="004B563A" w:rsidP="004B563A">
            <w:pPr>
              <w:pStyle w:val="empty"/>
              <w:shd w:val="clear" w:color="auto" w:fill="FFFFFF"/>
              <w:spacing w:before="0" w:beforeAutospacing="0" w:after="0" w:afterAutospacing="0"/>
              <w:jc w:val="both"/>
              <w:rPr>
                <w:sz w:val="23"/>
                <w:szCs w:val="23"/>
              </w:rPr>
            </w:pPr>
            <w:r w:rsidRPr="004B563A">
              <w:rPr>
                <w:sz w:val="23"/>
                <w:szCs w:val="23"/>
              </w:rPr>
              <w:t> </w:t>
            </w:r>
            <w:hyperlink r:id="rId25" w:history="1">
              <w:r>
                <w:rPr>
                  <w:rStyle w:val="a4"/>
                  <w:b/>
                </w:rPr>
                <w:t>https://www.garant.ru</w:t>
              </w:r>
            </w:hyperlink>
          </w:p>
          <w:p w:rsidR="004B563A" w:rsidRPr="004B563A" w:rsidRDefault="004B563A" w:rsidP="004B563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563A" w:rsidRPr="004B563A" w:rsidRDefault="004B563A" w:rsidP="004B563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24E" w:rsidRDefault="00CA424E"/>
    <w:sectPr w:rsidR="00CA424E" w:rsidSect="005117A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4"/>
    <w:rsid w:val="00024A1D"/>
    <w:rsid w:val="00180B34"/>
    <w:rsid w:val="001D05F2"/>
    <w:rsid w:val="001D669D"/>
    <w:rsid w:val="001F6A8C"/>
    <w:rsid w:val="00297011"/>
    <w:rsid w:val="002A095E"/>
    <w:rsid w:val="002E07DE"/>
    <w:rsid w:val="002F2591"/>
    <w:rsid w:val="003123BB"/>
    <w:rsid w:val="003B1E6E"/>
    <w:rsid w:val="00431553"/>
    <w:rsid w:val="00490D5B"/>
    <w:rsid w:val="004A0628"/>
    <w:rsid w:val="004B34B6"/>
    <w:rsid w:val="004B563A"/>
    <w:rsid w:val="005117AF"/>
    <w:rsid w:val="00590661"/>
    <w:rsid w:val="005D1E7B"/>
    <w:rsid w:val="00641131"/>
    <w:rsid w:val="00654DF9"/>
    <w:rsid w:val="00672317"/>
    <w:rsid w:val="00773E97"/>
    <w:rsid w:val="007F3AD8"/>
    <w:rsid w:val="00803406"/>
    <w:rsid w:val="00822922"/>
    <w:rsid w:val="00825A4C"/>
    <w:rsid w:val="008E4E5F"/>
    <w:rsid w:val="00942125"/>
    <w:rsid w:val="00944B98"/>
    <w:rsid w:val="00955996"/>
    <w:rsid w:val="009C2E2D"/>
    <w:rsid w:val="00A10CF8"/>
    <w:rsid w:val="00AE0D67"/>
    <w:rsid w:val="00B7016E"/>
    <w:rsid w:val="00C3201F"/>
    <w:rsid w:val="00CA424E"/>
    <w:rsid w:val="00D35D0C"/>
    <w:rsid w:val="00DB4080"/>
    <w:rsid w:val="00DC1888"/>
    <w:rsid w:val="00E456E4"/>
    <w:rsid w:val="00E71EC9"/>
    <w:rsid w:val="00ED1AD6"/>
    <w:rsid w:val="00F417E0"/>
    <w:rsid w:val="00F430C6"/>
    <w:rsid w:val="00F773BF"/>
    <w:rsid w:val="00F9723A"/>
    <w:rsid w:val="00FA5DDA"/>
    <w:rsid w:val="00FD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2EAA8-91A3-4D72-B32E-1D12ED66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0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4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41131"/>
    <w:rPr>
      <w:color w:val="0000FF"/>
      <w:u w:val="single"/>
    </w:rPr>
  </w:style>
  <w:style w:type="paragraph" w:customStyle="1" w:styleId="s16">
    <w:name w:val="s_16"/>
    <w:basedOn w:val="a"/>
    <w:rsid w:val="004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B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hyperlink" Target="http://internet.garant.ru/" TargetMode="External"/><Relationship Id="rId18" Type="http://schemas.openxmlformats.org/officeDocument/2006/relationships/hyperlink" Target="https://www.garant.ru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garant.ru" TargetMode="External"/><Relationship Id="rId7" Type="http://schemas.openxmlformats.org/officeDocument/2006/relationships/hyperlink" Target="http://internet.garant.ru/" TargetMode="Externa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s://www.garant.ru" TargetMode="External"/><Relationship Id="rId25" Type="http://schemas.openxmlformats.org/officeDocument/2006/relationships/hyperlink" Target="https://www.gar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nternet.garant.ru/" TargetMode="External"/><Relationship Id="rId20" Type="http://schemas.openxmlformats.org/officeDocument/2006/relationships/hyperlink" Target="https://www.garan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rant.ru" TargetMode="Externa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s://www.garant.ru" TargetMode="External"/><Relationship Id="rId5" Type="http://schemas.openxmlformats.org/officeDocument/2006/relationships/hyperlink" Target="http://internet.garant.ru/" TargetMode="External"/><Relationship Id="rId15" Type="http://schemas.openxmlformats.org/officeDocument/2006/relationships/hyperlink" Target="http://internet.garant.ru/" TargetMode="External"/><Relationship Id="rId23" Type="http://schemas.openxmlformats.org/officeDocument/2006/relationships/hyperlink" Target="http://internet.garant.ru/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s://www.garant.ru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s://www.garant.ru" TargetMode="External"/><Relationship Id="rId22" Type="http://schemas.openxmlformats.org/officeDocument/2006/relationships/hyperlink" Target="http://internet.garant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2019-05-22T07:59:00Z</dcterms:created>
  <dcterms:modified xsi:type="dcterms:W3CDTF">2019-05-24T05:23:00Z</dcterms:modified>
</cp:coreProperties>
</file>